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3D" w:rsidRPr="008244CE" w:rsidRDefault="00F22D3D" w:rsidP="00F22D3D">
      <w:pPr>
        <w:spacing w:beforeLines="50" w:before="180" w:afterLines="100" w:after="360" w:line="580" w:lineRule="exact"/>
        <w:rPr>
          <w:rFonts w:ascii="Times New Roman" w:eastAsia="標楷體" w:hAnsi="Times New Roman"/>
          <w:color w:val="000000" w:themeColor="text1"/>
          <w:sz w:val="40"/>
          <w:szCs w:val="40"/>
        </w:rPr>
      </w:pPr>
      <w:bookmarkStart w:id="0" w:name="_GoBack"/>
      <w:r w:rsidRPr="004C22B4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違反空氣污染防制法按日連續處罰執行準則修</w:t>
      </w:r>
      <w:r w:rsidRPr="008244CE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>正草案總說明</w:t>
      </w:r>
      <w:bookmarkEnd w:id="0"/>
    </w:p>
    <w:p w:rsidR="00F22D3D" w:rsidRPr="008244CE" w:rsidRDefault="0012242C" w:rsidP="004C22B4">
      <w:pPr>
        <w:widowControl w:val="0"/>
        <w:snapToGrid w:val="0"/>
        <w:spacing w:beforeLines="50" w:before="180" w:after="120" w:line="460" w:lineRule="exact"/>
        <w:ind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C22B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違反空氣污染防制法按日連續處罰執行準則</w:t>
      </w:r>
      <w:r w:rsidR="00AF46B4" w:rsidRPr="008244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(下稱本準則)</w:t>
      </w:r>
      <w:r w:rsidR="008249EF" w:rsidRPr="008244CE">
        <w:rPr>
          <w:rFonts w:ascii="Times New Roman" w:eastAsia="標楷體" w:hAnsi="Times New Roman" w:hint="eastAsia"/>
          <w:color w:val="000000" w:themeColor="text1"/>
          <w:sz w:val="28"/>
        </w:rPr>
        <w:t>於九十二年七月二十三日發布施</w:t>
      </w:r>
      <w:r w:rsidR="004315C0">
        <w:rPr>
          <w:rFonts w:ascii="Times New Roman" w:eastAsia="標楷體" w:hAnsi="Times New Roman" w:hint="eastAsia"/>
          <w:color w:val="000000" w:themeColor="text1"/>
          <w:sz w:val="28"/>
        </w:rPr>
        <w:t>行</w:t>
      </w:r>
      <w:r w:rsidR="008249EF" w:rsidRPr="008244CE">
        <w:rPr>
          <w:rFonts w:ascii="Times New Roman" w:eastAsia="標楷體" w:hAnsi="Times New Roman" w:hint="eastAsia"/>
          <w:color w:val="000000" w:themeColor="text1"/>
          <w:sz w:val="28"/>
        </w:rPr>
        <w:t>後，迄今未修正。本次修正係</w:t>
      </w:r>
      <w:r w:rsidR="00F22D3D" w:rsidRPr="008244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配合</w:t>
      </w:r>
      <w:r w:rsidR="005D77B1" w:rsidRPr="008244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一百零七年八月一日修正公布之</w:t>
      </w:r>
      <w:r w:rsidR="00F22D3D" w:rsidRPr="008244CE">
        <w:rPr>
          <w:rFonts w:ascii="標楷體" w:eastAsia="標楷體" w:hAnsi="標楷體" w:cs="Times New Roman"/>
          <w:color w:val="000000" w:themeColor="text1"/>
          <w:sz w:val="28"/>
          <w:szCs w:val="28"/>
        </w:rPr>
        <w:t>空氣污染防制法</w:t>
      </w:r>
      <w:r w:rsidR="00AF46B4" w:rsidRPr="008244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(下稱本法)</w:t>
      </w:r>
      <w:r w:rsidR="00F22D3D" w:rsidRPr="008244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D77B1" w:rsidRPr="008244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將按日連續處罰修正為按次處罰，</w:t>
      </w:r>
      <w:r w:rsidR="00F22D3D" w:rsidRPr="008244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爰擬具</w:t>
      </w:r>
      <w:r w:rsidR="00323B0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323B0A" w:rsidRPr="00323B0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違反空氣污染防制法按日連續處罰執行準則</w:t>
      </w:r>
      <w:r w:rsidR="00323B0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AF46B4" w:rsidRPr="008244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修正</w:t>
      </w:r>
      <w:r w:rsidR="00F22D3D" w:rsidRPr="008244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草案，</w:t>
      </w:r>
      <w:r w:rsidR="00F22D3D" w:rsidRPr="004C22B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</w:t>
      </w:r>
      <w:r w:rsidR="00F22D3D" w:rsidRPr="008244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修正</w:t>
      </w:r>
      <w:r w:rsidR="00F22D3D" w:rsidRPr="004C22B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要點</w:t>
      </w:r>
      <w:r w:rsidR="00F22D3D" w:rsidRPr="008244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如下：</w:t>
      </w:r>
    </w:p>
    <w:p w:rsidR="00F22D3D" w:rsidRPr="008244CE" w:rsidRDefault="00323B0A" w:rsidP="00285FB2">
      <w:pPr>
        <w:pStyle w:val="a3"/>
        <w:widowControl w:val="0"/>
        <w:numPr>
          <w:ilvl w:val="0"/>
          <w:numId w:val="1"/>
        </w:numPr>
        <w:adjustRightInd w:val="0"/>
        <w:snapToGrid w:val="0"/>
        <w:spacing w:line="460" w:lineRule="exact"/>
        <w:ind w:leftChars="0" w:left="556" w:hanging="567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明定本準則適用對象，修正準則名稱；</w:t>
      </w:r>
      <w:r w:rsidR="008273CD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另</w:t>
      </w:r>
      <w:r w:rsidR="00F22D3D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配合本法修正，刪除按日連續處罰之規定，修正為按「次」處罰。</w:t>
      </w:r>
      <w:r w:rsidR="008273CD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AF46B4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本準則名稱、</w:t>
      </w:r>
      <w:r w:rsidR="008273CD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修正條文第一條</w:t>
      </w:r>
      <w:r w:rsidR="00AF46B4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及第二條</w:t>
      </w:r>
      <w:r w:rsidR="008273CD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</w:p>
    <w:p w:rsidR="00285FB2" w:rsidRPr="00285FB2" w:rsidRDefault="00AF46B4" w:rsidP="00285FB2">
      <w:pPr>
        <w:pStyle w:val="a3"/>
        <w:widowControl w:val="0"/>
        <w:numPr>
          <w:ilvl w:val="0"/>
          <w:numId w:val="1"/>
        </w:numPr>
        <w:adjustRightInd w:val="0"/>
        <w:snapToGrid w:val="0"/>
        <w:spacing w:line="460" w:lineRule="exact"/>
        <w:ind w:leftChars="0" w:left="556" w:hanging="567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因應本法已將按日連續處罰修正為按次處罰，因此主管機關對公私場所固定污染源有無違反行政法上義務，應逐次依職權調查事實及證據，以作為裁罰之基準，毋需再行規範裁罰之起算日、暫停日</w:t>
      </w:r>
      <w:r w:rsidR="00CF630F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暫停日後繼續處罰</w:t>
      </w:r>
      <w:r w:rsidR="00CF630F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及停止日</w:t>
      </w:r>
      <w:r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之規定，爰刪除之。（現行條文第</w:t>
      </w:r>
      <w:r w:rsidR="00CF630F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條</w:t>
      </w:r>
      <w:r w:rsidR="00CF630F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</w:t>
      </w:r>
      <w:r w:rsidR="00CF630F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條）</w:t>
      </w:r>
    </w:p>
    <w:p w:rsidR="00D75019" w:rsidRDefault="00D75019" w:rsidP="00285FB2">
      <w:pPr>
        <w:pStyle w:val="a3"/>
        <w:widowControl w:val="0"/>
        <w:numPr>
          <w:ilvl w:val="0"/>
          <w:numId w:val="1"/>
        </w:numPr>
        <w:adjustRightInd w:val="0"/>
        <w:snapToGrid w:val="0"/>
        <w:spacing w:line="460" w:lineRule="exact"/>
        <w:ind w:leftChars="0" w:left="556" w:hanging="567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本法施行細則第三十六條</w:t>
      </w:r>
      <w:r w:rsidR="00FE521B"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所定符合排放標準之證明文件內容、</w:t>
      </w:r>
      <w:r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第三十七條</w:t>
      </w:r>
      <w:r w:rsidR="00FE521B"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所定申請</w:t>
      </w:r>
      <w:r w:rsidR="00FE521B" w:rsidRPr="004C22B4">
        <w:rPr>
          <w:rFonts w:ascii="標楷體" w:eastAsia="標楷體" w:hAnsi="標楷體"/>
          <w:bCs/>
          <w:color w:val="000000" w:themeColor="text1"/>
          <w:sz w:val="28"/>
          <w:szCs w:val="28"/>
        </w:rPr>
        <w:t>延長改善期限所提報之改善計畫</w:t>
      </w:r>
      <w:r w:rsidR="00FE521B"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內容</w:t>
      </w:r>
      <w:r w:rsidR="00373E59"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，以及</w:t>
      </w:r>
      <w:r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第三十八條</w:t>
      </w:r>
      <w:r w:rsidR="00FE521B"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所定未</w:t>
      </w:r>
      <w:r w:rsidR="00323B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確</w:t>
      </w:r>
      <w:r w:rsidR="00FE521B"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實依改善計畫執行之情形，</w:t>
      </w:r>
      <w:r w:rsidR="00373E59"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移列至本</w:t>
      </w:r>
      <w:r w:rsidR="00684A64"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準則</w:t>
      </w:r>
      <w:r w:rsidR="00373E59"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規範，以利主管機關認定及依法處分。（修正條文第</w:t>
      </w:r>
      <w:r w:rsidR="00662F9E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="00373E59"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條</w:t>
      </w:r>
      <w:r w:rsidR="00662F9E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、第六條、</w:t>
      </w:r>
      <w:r w:rsidR="00373E59"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</w:t>
      </w:r>
      <w:r w:rsidR="00662F9E"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七</w:t>
      </w:r>
      <w:r w:rsidR="00373E59"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條）</w:t>
      </w:r>
    </w:p>
    <w:p w:rsidR="00285FB2" w:rsidRPr="00285FB2" w:rsidRDefault="00285FB2" w:rsidP="00285FB2">
      <w:pPr>
        <w:pStyle w:val="a3"/>
        <w:widowControl w:val="0"/>
        <w:numPr>
          <w:ilvl w:val="0"/>
          <w:numId w:val="1"/>
        </w:numPr>
        <w:adjustRightInd w:val="0"/>
        <w:snapToGrid w:val="0"/>
        <w:spacing w:line="460" w:lineRule="exact"/>
        <w:ind w:leftChars="0" w:left="556" w:hanging="567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新增</w:t>
      </w:r>
      <w:r w:rsidRPr="00285F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違反本法規定，以應停止污染源操作、停工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</w:t>
      </w:r>
      <w:r w:rsidRPr="00285FB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停業作為改善之方式者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，應檢具之證明文件。</w:t>
      </w:r>
      <w:r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（修正條文</w:t>
      </w:r>
      <w:r w:rsidRPr="008244C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Pr="004C22B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條）</w:t>
      </w:r>
    </w:p>
    <w:p w:rsidR="00285FB2" w:rsidRPr="004C22B4" w:rsidRDefault="00285FB2" w:rsidP="00285FB2">
      <w:pPr>
        <w:pStyle w:val="a3"/>
        <w:widowControl w:val="0"/>
        <w:adjustRightInd w:val="0"/>
        <w:snapToGrid w:val="0"/>
        <w:spacing w:line="460" w:lineRule="exact"/>
        <w:ind w:leftChars="0" w:left="-1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F22D3D" w:rsidRPr="008244CE" w:rsidRDefault="00F22D3D" w:rsidP="00F22D3D">
      <w:pPr>
        <w:jc w:val="both"/>
        <w:rPr>
          <w:rFonts w:ascii="標楷體" w:eastAsia="標楷體" w:hAnsi="標楷體" w:cs="Times New Roman"/>
          <w:b/>
          <w:color w:val="000000" w:themeColor="text1"/>
          <w:spacing w:val="-20"/>
          <w:sz w:val="28"/>
          <w:szCs w:val="28"/>
        </w:rPr>
      </w:pPr>
      <w:r w:rsidRPr="008244CE">
        <w:rPr>
          <w:rFonts w:ascii="標楷體" w:eastAsia="標楷體" w:hAnsi="標楷體" w:cs="Times New Roman"/>
          <w:b/>
          <w:color w:val="000000" w:themeColor="text1"/>
          <w:spacing w:val="-20"/>
          <w:sz w:val="28"/>
          <w:szCs w:val="28"/>
        </w:rPr>
        <w:br w:type="page"/>
      </w:r>
    </w:p>
    <w:p w:rsidR="00F22D3D" w:rsidRPr="008244CE" w:rsidRDefault="00F22D3D" w:rsidP="004C22B4">
      <w:pPr>
        <w:widowControl w:val="0"/>
        <w:snapToGrid w:val="0"/>
        <w:spacing w:after="100" w:afterAutospacing="1" w:line="460" w:lineRule="exact"/>
        <w:rPr>
          <w:rFonts w:ascii="Times New Roman" w:eastAsia="標楷體" w:hAnsi="Times New Roman"/>
          <w:color w:val="000000" w:themeColor="text1"/>
          <w:sz w:val="40"/>
          <w:szCs w:val="40"/>
        </w:rPr>
      </w:pPr>
      <w:r w:rsidRPr="004C22B4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lastRenderedPageBreak/>
        <w:t>違反空氣污染防制法按日連續處罰執行準則修正草案條文對照表</w:t>
      </w:r>
    </w:p>
    <w:tbl>
      <w:tblPr>
        <w:tblW w:w="52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977"/>
        <w:gridCol w:w="2978"/>
        <w:gridCol w:w="2978"/>
      </w:tblGrid>
      <w:tr w:rsidR="008244CE" w:rsidRPr="008244CE" w:rsidTr="00CC1C5C">
        <w:tc>
          <w:tcPr>
            <w:tcW w:w="1666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修正名稱</w:t>
            </w: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現行名稱</w:t>
            </w: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說明</w:t>
            </w:r>
          </w:p>
        </w:tc>
      </w:tr>
      <w:tr w:rsidR="008244CE" w:rsidRPr="008244CE" w:rsidTr="00CC1C5C">
        <w:tc>
          <w:tcPr>
            <w:tcW w:w="1666" w:type="pct"/>
            <w:shd w:val="clear" w:color="auto" w:fill="FFFFFF" w:themeFill="background1"/>
          </w:tcPr>
          <w:p w:rsidR="00F22D3D" w:rsidRPr="008244CE" w:rsidRDefault="00AC1847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公私場所</w:t>
            </w:r>
            <w:r w:rsidR="00F22D3D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固定污染源</w:t>
            </w:r>
            <w:r w:rsidR="00F22D3D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違反空氣污染防制法按</w:t>
            </w:r>
            <w:r w:rsidR="00F22D3D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次</w:t>
            </w:r>
            <w:r w:rsidR="00F22D3D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處罰</w:t>
            </w:r>
            <w:r w:rsidR="00F22D3D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之限期改善或補正</w:t>
            </w:r>
            <w:r w:rsidR="00F22D3D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執行準則</w:t>
            </w: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違反空氣污染防制法按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日連續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處罰執行準則</w:t>
            </w: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明定本準則適用對象，爰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修正準則名稱。</w:t>
            </w:r>
          </w:p>
        </w:tc>
      </w:tr>
      <w:tr w:rsidR="008244CE" w:rsidRPr="008244CE" w:rsidTr="00CC1C5C">
        <w:tc>
          <w:tcPr>
            <w:tcW w:w="1666" w:type="pct"/>
            <w:shd w:val="clear" w:color="auto" w:fill="FFFFFF" w:themeFill="background1"/>
          </w:tcPr>
          <w:p w:rsidR="00F22D3D" w:rsidRPr="004C22B4" w:rsidRDefault="00F22D3D">
            <w:pPr>
              <w:snapToGrid w:val="0"/>
              <w:spacing w:line="320" w:lineRule="exact"/>
              <w:ind w:left="269" w:hangingChars="112" w:hanging="26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修正條文</w:t>
            </w: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ind w:left="269" w:hangingChars="112" w:hanging="26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現行條文</w:t>
            </w: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244CE" w:rsidRPr="008244CE" w:rsidTr="00CC1C5C">
        <w:tc>
          <w:tcPr>
            <w:tcW w:w="1666" w:type="pct"/>
            <w:shd w:val="clear" w:color="auto" w:fill="FFFFFF" w:themeFill="background1"/>
          </w:tcPr>
          <w:p w:rsidR="00F22D3D" w:rsidRPr="008244CE" w:rsidRDefault="00F22D3D" w:rsidP="004C22B4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第一條　本準則依空氣污染防制法</w:t>
            </w:r>
            <w:r w:rsidR="001421D1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以下簡稱本法</w:t>
            </w:r>
            <w:r w:rsidR="001421D1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八十一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條第二項規定訂定之。</w:t>
            </w: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22D3D" w:rsidP="001421D1">
            <w:pPr>
              <w:snapToGrid w:val="0"/>
              <w:spacing w:line="320" w:lineRule="exact"/>
              <w:ind w:left="269" w:hangingChars="112" w:hanging="269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第一條　本準則依空氣污染防制法</w:t>
            </w:r>
            <w:r w:rsidR="001421D1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以下簡稱本法</w:t>
            </w:r>
            <w:r w:rsidR="001421D1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七十一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條第二項規定訂定之。</w:t>
            </w: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E61A8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3F63">
              <w:rPr>
                <w:rFonts w:ascii="Times New Roman" w:eastAsia="標楷體" w:hAnsi="Times New Roman" w:hint="eastAsia"/>
                <w:szCs w:val="24"/>
              </w:rPr>
              <w:t>配合本法修正，調整授權條次。</w:t>
            </w:r>
          </w:p>
        </w:tc>
      </w:tr>
      <w:tr w:rsidR="008244CE" w:rsidRPr="008244CE" w:rsidTr="00CC1C5C">
        <w:tc>
          <w:tcPr>
            <w:tcW w:w="1666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第二條　主管機關依本法為行政罰，應於處分書載明處分事由，其須限期補正、改善或申報者，應載明補正、改善或申報內容、期限，完成補正、改善或申報之應檢具證明文件，及屆期未補正、改善或申報完成者，按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次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處罰之相關規定。</w:t>
            </w: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第二條　主管機關依本法為行政罰，應於處分書載明處分事由，其須限期補正、改善或申報者，應載明補正、改善或申報內容、期限，完成補正、改善或申報之應檢具證明文件，及屆期未補正、改善或申報完成者，按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日連續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處罰之相關規定。</w:t>
            </w: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22D3D" w:rsidP="004C22B4">
            <w:pPr>
              <w:widowControl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配合本法修正，將「按日連續」處罰規定修正為「按次」處罰。</w:t>
            </w:r>
          </w:p>
        </w:tc>
      </w:tr>
      <w:tr w:rsidR="008244CE" w:rsidRPr="008244CE" w:rsidTr="00CC1C5C">
        <w:tc>
          <w:tcPr>
            <w:tcW w:w="1666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ind w:leftChars="94" w:left="696" w:hangingChars="196" w:hanging="47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第三條　按日連續處罰之起算日，依下列規定：</w:t>
            </w:r>
          </w:p>
          <w:p w:rsidR="00CE06D3" w:rsidRPr="008244CE" w:rsidRDefault="00F22D3D" w:rsidP="004C22B4">
            <w:pPr>
              <w:numPr>
                <w:ilvl w:val="0"/>
                <w:numId w:val="13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未於期限屆滿前檢齊補正、改善或申報完成證明文件，向主管機關報請查驗者，自其補正、改善或申報期限屆滿之翌日起算。但經目的事業主管機關依法命其停工、停業、歇業或自報停工、停業進行改善經主管機關查驗屬實者，不在此限。</w:t>
            </w:r>
          </w:p>
          <w:p w:rsidR="00F22D3D" w:rsidRPr="008244CE" w:rsidRDefault="00F22D3D" w:rsidP="004C22B4">
            <w:pPr>
              <w:numPr>
                <w:ilvl w:val="0"/>
                <w:numId w:val="13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於期限屆滿前檢齊補正、改善或申報完成證明文件，向主管機關報請查驗，經主管機關於期限屆滿前進行查驗，認其未完成補正、改善或申報者，自期限屆滿之翌日起算；主管機關於期限屆滿後進行查驗，認其未完成補正、改善或申報者，自查驗日起算。</w:t>
            </w: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CE06D3" w:rsidP="004C22B4">
            <w:pPr>
              <w:widowControl w:val="0"/>
              <w:numPr>
                <w:ilvl w:val="0"/>
                <w:numId w:val="12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本條刪除</w:t>
            </w:r>
            <w:r w:rsidR="00F22D3D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72032B" w:rsidRPr="008244CE" w:rsidRDefault="00A5496F" w:rsidP="004C22B4">
            <w:pPr>
              <w:widowControl w:val="0"/>
              <w:numPr>
                <w:ilvl w:val="0"/>
                <w:numId w:val="12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因應</w:t>
            </w:r>
            <w:r w:rsidR="0072032B" w:rsidRPr="004C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本法已將按日連續處罰修正為按次處罰，</w:t>
            </w:r>
            <w:r w:rsidRPr="008244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因此</w:t>
            </w:r>
            <w:r w:rsidR="0072032B" w:rsidRPr="004C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主管機關對公私場所固定污染源有無違反行政法上義務，應逐次依職權調查事實及證據，以作為裁罰之基準，無須再行規定裁罰之起算日，爰刪除之。</w:t>
            </w:r>
          </w:p>
        </w:tc>
      </w:tr>
      <w:tr w:rsidR="008244CE" w:rsidRPr="008244CE" w:rsidTr="00CC1C5C">
        <w:tc>
          <w:tcPr>
            <w:tcW w:w="1666" w:type="pct"/>
            <w:shd w:val="clear" w:color="auto" w:fill="FFFFFF" w:themeFill="background1"/>
          </w:tcPr>
          <w:p w:rsidR="005D696C" w:rsidRPr="008244CE" w:rsidRDefault="005D696C" w:rsidP="004C22B4">
            <w:pPr>
              <w:pStyle w:val="a3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第四條　按日連續處罰中，經完成補正、改善或申報，並檢齊補正、改善或申報完成證明文件送達主管機關者，自送達日之翌日起，暫停按日連續處罰。</w:t>
            </w:r>
          </w:p>
        </w:tc>
        <w:tc>
          <w:tcPr>
            <w:tcW w:w="1667" w:type="pct"/>
            <w:shd w:val="clear" w:color="auto" w:fill="FFFFFF" w:themeFill="background1"/>
          </w:tcPr>
          <w:p w:rsidR="009D3FF6" w:rsidRPr="004C22B4" w:rsidRDefault="00792A10" w:rsidP="004C22B4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ind w:leftChars="0"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本條刪除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F22D3D" w:rsidRPr="008244CE" w:rsidRDefault="009D3FF6" w:rsidP="004C22B4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ind w:leftChars="0"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刪除說明同前條說明二。</w:t>
            </w:r>
          </w:p>
        </w:tc>
      </w:tr>
      <w:tr w:rsidR="008244CE" w:rsidRPr="008244CE" w:rsidTr="00CC1C5C">
        <w:tc>
          <w:tcPr>
            <w:tcW w:w="1666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ind w:leftChars="100" w:left="240" w:firstLineChars="200" w:firstLine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第五條　依前條規定暫停按日連續處罰，經主管機關查驗結果認定仍未完成補正、改善或申報者，自暫停日起繼續按日連續處罰。</w:t>
            </w:r>
          </w:p>
          <w:p w:rsidR="00F22D3D" w:rsidRPr="008244CE" w:rsidRDefault="00F22D3D">
            <w:pPr>
              <w:snapToGrid w:val="0"/>
              <w:spacing w:line="320" w:lineRule="exact"/>
              <w:ind w:leftChars="100" w:left="240" w:firstLineChars="200" w:firstLine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前項查驗，尚需檢測空氣污染物以認定完成改善者，自空氣污染物檢測報告檢出未符合排放標準之日起，繼續按日連續處罰，空氣污染物檢測日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數不計入按日連續處罰。</w:t>
            </w:r>
          </w:p>
        </w:tc>
        <w:tc>
          <w:tcPr>
            <w:tcW w:w="1667" w:type="pct"/>
            <w:shd w:val="clear" w:color="auto" w:fill="FFFFFF" w:themeFill="background1"/>
          </w:tcPr>
          <w:p w:rsidR="009D3FF6" w:rsidRPr="008244CE" w:rsidRDefault="009D3FF6" w:rsidP="004C22B4">
            <w:pPr>
              <w:widowControl w:val="0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本條刪除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9D3FF6" w:rsidRPr="008244CE" w:rsidRDefault="009D3FF6" w:rsidP="004C22B4">
            <w:pPr>
              <w:widowControl w:val="0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刪除說明同現行條文第三條</w:t>
            </w:r>
            <w:r w:rsidR="003D4797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說明二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9D3FF6" w:rsidRPr="008244CE" w:rsidRDefault="009D3FF6" w:rsidP="004C22B4">
            <w:pPr>
              <w:widowControl w:val="0"/>
              <w:snapToGrid w:val="0"/>
              <w:ind w:leftChars="20" w:left="526" w:hangingChars="199" w:hanging="47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244CE" w:rsidRPr="008244CE" w:rsidTr="00A035AA">
        <w:tc>
          <w:tcPr>
            <w:tcW w:w="1666" w:type="pct"/>
            <w:shd w:val="clear" w:color="auto" w:fill="FFFFFF" w:themeFill="background1"/>
          </w:tcPr>
          <w:p w:rsidR="00CF630F" w:rsidRPr="008244CE" w:rsidRDefault="00CF630F" w:rsidP="00A035AA">
            <w:pPr>
              <w:pStyle w:val="a3"/>
              <w:widowControl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CF630F" w:rsidRPr="008244CE" w:rsidRDefault="00CF630F" w:rsidP="00A035AA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第六條</w:t>
            </w:r>
            <w:r w:rsidRPr="008244CE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按日連續處罰之停止日，依下列規定：</w:t>
            </w:r>
          </w:p>
          <w:p w:rsidR="00CF630F" w:rsidRPr="008244CE" w:rsidRDefault="00CF630F" w:rsidP="00A035AA">
            <w:pPr>
              <w:pStyle w:val="a3"/>
              <w:widowControl w:val="0"/>
              <w:numPr>
                <w:ilvl w:val="0"/>
                <w:numId w:val="3"/>
              </w:numPr>
              <w:snapToGrid w:val="0"/>
              <w:spacing w:line="320" w:lineRule="exact"/>
              <w:ind w:leftChars="0" w:left="723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檢齊補正、改善或申報完成證明文件送達主管機關後，經主管機關查驗結果認定完成補正、改善或申報者，以暫停日為停止日。</w:t>
            </w:r>
          </w:p>
          <w:p w:rsidR="00CF630F" w:rsidRPr="008244CE" w:rsidRDefault="00CF630F" w:rsidP="00A035AA">
            <w:pPr>
              <w:pStyle w:val="a3"/>
              <w:widowControl w:val="0"/>
              <w:numPr>
                <w:ilvl w:val="0"/>
                <w:numId w:val="3"/>
              </w:numPr>
              <w:snapToGrid w:val="0"/>
              <w:spacing w:line="320" w:lineRule="exact"/>
              <w:ind w:leftChars="0" w:left="74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經主管機關、目的事業主管機關依法命其停工、停業或歇業者，自停工、停業或歇業日起，停止按日連續處罰。</w:t>
            </w:r>
          </w:p>
          <w:p w:rsidR="00CF630F" w:rsidRPr="008244CE" w:rsidRDefault="00CF630F" w:rsidP="00A035AA">
            <w:pPr>
              <w:pStyle w:val="a3"/>
              <w:widowControl w:val="0"/>
              <w:numPr>
                <w:ilvl w:val="0"/>
                <w:numId w:val="3"/>
              </w:numPr>
              <w:snapToGrid w:val="0"/>
              <w:spacing w:line="320" w:lineRule="exact"/>
              <w:ind w:leftChars="0" w:left="74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自報停工、停業進行改善，經主管機關查驗屬實者，自停工、停業日起，停止按日連續處罰。</w:t>
            </w:r>
          </w:p>
        </w:tc>
        <w:tc>
          <w:tcPr>
            <w:tcW w:w="1667" w:type="pct"/>
            <w:shd w:val="clear" w:color="auto" w:fill="FFFFFF" w:themeFill="background1"/>
          </w:tcPr>
          <w:p w:rsidR="00CF630F" w:rsidRPr="008244CE" w:rsidRDefault="00CF630F" w:rsidP="00A035AA">
            <w:pPr>
              <w:widowControl w:val="0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本條刪除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CF630F" w:rsidRPr="008244CE" w:rsidRDefault="00CF630F" w:rsidP="00A035AA">
            <w:pPr>
              <w:widowControl w:val="0"/>
              <w:numPr>
                <w:ilvl w:val="0"/>
                <w:numId w:val="22"/>
              </w:num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刪除說明同現行條文第三條說明二。</w:t>
            </w:r>
          </w:p>
          <w:p w:rsidR="00CF630F" w:rsidRPr="008244CE" w:rsidRDefault="00CF630F" w:rsidP="00A035AA">
            <w:pPr>
              <w:widowControl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244CE" w:rsidRPr="008244CE" w:rsidTr="00CC1C5C">
        <w:tc>
          <w:tcPr>
            <w:tcW w:w="1666" w:type="pct"/>
            <w:shd w:val="clear" w:color="auto" w:fill="FFFFFF" w:themeFill="background1"/>
          </w:tcPr>
          <w:p w:rsidR="00F80E4D" w:rsidRPr="008244CE" w:rsidRDefault="00F80E4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第三條</w:t>
            </w:r>
            <w:r w:rsidR="004946AB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4946AB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違反本法規定，以</w:t>
            </w:r>
            <w:r w:rsidR="004946AB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應符合排放標準</w:t>
            </w:r>
            <w:r w:rsidR="004946AB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作為改善之方式者，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應</w:t>
            </w:r>
            <w:r w:rsidR="00162D49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檢具下列文件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</w:p>
          <w:p w:rsidR="00F80E4D" w:rsidRPr="008244CE" w:rsidRDefault="00F80E4D" w:rsidP="004C22B4">
            <w:pPr>
              <w:numPr>
                <w:ilvl w:val="0"/>
                <w:numId w:val="15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污染源之設備、構造</w:t>
            </w:r>
            <w:r w:rsidR="00162D49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規模之說明。</w:t>
            </w:r>
          </w:p>
          <w:p w:rsidR="00F80E4D" w:rsidRPr="008244CE" w:rsidRDefault="00F80E4D" w:rsidP="004C22B4">
            <w:pPr>
              <w:numPr>
                <w:ilvl w:val="0"/>
                <w:numId w:val="15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生產製造流程圖說及產製期程。</w:t>
            </w:r>
          </w:p>
          <w:p w:rsidR="00F80E4D" w:rsidRPr="008244CE" w:rsidRDefault="00F80E4D" w:rsidP="004C22B4">
            <w:pPr>
              <w:numPr>
                <w:ilvl w:val="0"/>
                <w:numId w:val="15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污染源使用原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物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料、燃料之種類、成分、數量、產品種類及產量。</w:t>
            </w:r>
          </w:p>
          <w:p w:rsidR="00F80E4D" w:rsidRPr="008244CE" w:rsidRDefault="00F80E4D" w:rsidP="004C22B4">
            <w:pPr>
              <w:numPr>
                <w:ilvl w:val="0"/>
                <w:numId w:val="15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排放空氣污染物之種類、成分、濃度及排放量。</w:t>
            </w:r>
          </w:p>
          <w:p w:rsidR="00F80E4D" w:rsidRPr="008244CE" w:rsidRDefault="00F80E4D" w:rsidP="004C22B4">
            <w:pPr>
              <w:numPr>
                <w:ilvl w:val="0"/>
                <w:numId w:val="15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空氣污染防制設施及操作條件之說明。</w:t>
            </w:r>
          </w:p>
          <w:p w:rsidR="00F80E4D" w:rsidRPr="008244CE" w:rsidRDefault="00F80E4D" w:rsidP="004C22B4">
            <w:pPr>
              <w:numPr>
                <w:ilvl w:val="0"/>
                <w:numId w:val="15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經中央主管機關許可之環境檢驗測定機構所為之合格檢測報告，或其他足以說明</w:t>
            </w:r>
            <w:r w:rsidR="009A5FE0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完成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改善之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文件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667" w:type="pct"/>
            <w:shd w:val="clear" w:color="auto" w:fill="FFFFFF" w:themeFill="background1"/>
          </w:tcPr>
          <w:p w:rsidR="00F80E4D" w:rsidRPr="008244CE" w:rsidRDefault="00F80E4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F80E4D" w:rsidRPr="004C22B4" w:rsidRDefault="00F80E4D">
            <w:pPr>
              <w:pStyle w:val="a3"/>
              <w:numPr>
                <w:ilvl w:val="0"/>
                <w:numId w:val="7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本條新增</w:t>
            </w:r>
            <w:r w:rsidRPr="004C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F80E4D" w:rsidRPr="004C22B4" w:rsidRDefault="00C61512" w:rsidP="004C22B4">
            <w:pPr>
              <w:pStyle w:val="a3"/>
              <w:numPr>
                <w:ilvl w:val="0"/>
                <w:numId w:val="7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考量限期改善或補正等執行方式或其他管理事項已授權本</w:t>
            </w:r>
            <w:r w:rsidR="00FE61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準則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訂定，爰將本法施行細則</w:t>
            </w:r>
            <w:r w:rsidR="00F80E4D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第三十六條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移列至本準則統一規範</w:t>
            </w:r>
            <w:r w:rsidR="001421D1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，並酌作文字修正</w:t>
            </w:r>
            <w:r w:rsidR="00F80E4D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8244CE" w:rsidRPr="008244CE" w:rsidTr="00CC1C5C">
        <w:tc>
          <w:tcPr>
            <w:tcW w:w="1666" w:type="pct"/>
            <w:shd w:val="clear" w:color="auto" w:fill="FFFFFF" w:themeFill="background1"/>
          </w:tcPr>
          <w:p w:rsidR="00F36C0F" w:rsidRPr="008244CE" w:rsidRDefault="00F36C0F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 w:rsidR="00657775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四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</w:t>
            </w:r>
            <w:r w:rsidRPr="004C22B4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="006237CE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違反本法規定，</w:t>
            </w:r>
            <w:r w:rsidR="00821155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</w:t>
            </w:r>
            <w:r w:rsidR="009F234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停止污染源操作、</w:t>
            </w:r>
            <w:r w:rsidR="00FE61A8" w:rsidRPr="00FE61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停工</w:t>
            </w:r>
            <w:r w:rsidR="002F661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</w:t>
            </w:r>
            <w:r w:rsidR="00FE61A8" w:rsidRPr="00FE61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停業</w:t>
            </w:r>
            <w:r w:rsidR="00821155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作為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改善</w:t>
            </w:r>
            <w:r w:rsidR="00821155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之方式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者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="005621F6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應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檢具下列文件，向主管機關提出證明</w:t>
            </w:r>
            <w:r w:rsidRPr="008244CE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F36C0F" w:rsidRPr="008244CE" w:rsidRDefault="00FE61A8" w:rsidP="004C22B4">
            <w:pPr>
              <w:numPr>
                <w:ilvl w:val="0"/>
                <w:numId w:val="16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自行</w:t>
            </w:r>
            <w:r w:rsidR="009F234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停止污染源操作、停工或</w:t>
            </w:r>
            <w:r w:rsidR="00F36C0F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停業</w:t>
            </w:r>
            <w:r w:rsidR="006456C5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</w:t>
            </w:r>
            <w:r w:rsidR="00F36C0F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佐證資料</w:t>
            </w:r>
            <w:r w:rsidR="00F36C0F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F36C0F" w:rsidRPr="008244CE" w:rsidRDefault="00F36C0F" w:rsidP="004C22B4">
            <w:pPr>
              <w:numPr>
                <w:ilvl w:val="0"/>
                <w:numId w:val="16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主要生產設備已搬遷，且經目的事業主管機關認定無製造、加工事實之文件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AC1847" w:rsidRPr="008244CE" w:rsidRDefault="00AC1847" w:rsidP="00FE61A8">
            <w:pPr>
              <w:numPr>
                <w:ilvl w:val="0"/>
                <w:numId w:val="16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改變生產製造程序或空氣污染防制措施</w:t>
            </w:r>
            <w:r w:rsidR="003A2A12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致無空氣污染物排放之文件。</w:t>
            </w:r>
          </w:p>
        </w:tc>
        <w:tc>
          <w:tcPr>
            <w:tcW w:w="1667" w:type="pct"/>
            <w:shd w:val="clear" w:color="auto" w:fill="FFFFFF" w:themeFill="background1"/>
          </w:tcPr>
          <w:p w:rsidR="00F36C0F" w:rsidRPr="008244CE" w:rsidRDefault="00F36C0F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7C7CA8" w:rsidRPr="008244CE" w:rsidRDefault="007C7CA8" w:rsidP="004C22B4">
            <w:pPr>
              <w:pStyle w:val="Default"/>
              <w:numPr>
                <w:ilvl w:val="0"/>
                <w:numId w:val="21"/>
              </w:numPr>
              <w:snapToGrid w:val="0"/>
              <w:jc w:val="both"/>
              <w:rPr>
                <w:color w:val="000000" w:themeColor="text1"/>
                <w:sz w:val="23"/>
                <w:szCs w:val="23"/>
              </w:rPr>
            </w:pPr>
            <w:r w:rsidRPr="004C22B4">
              <w:rPr>
                <w:rFonts w:hint="eastAsia"/>
                <w:color w:val="000000" w:themeColor="text1"/>
                <w:sz w:val="23"/>
                <w:szCs w:val="23"/>
                <w:u w:val="single"/>
              </w:rPr>
              <w:t>本條新增</w:t>
            </w:r>
            <w:r w:rsidRPr="008244CE">
              <w:rPr>
                <w:rFonts w:hint="eastAsia"/>
                <w:color w:val="000000" w:themeColor="text1"/>
                <w:sz w:val="23"/>
                <w:szCs w:val="23"/>
              </w:rPr>
              <w:t>。</w:t>
            </w:r>
          </w:p>
          <w:p w:rsidR="00F36C0F" w:rsidRPr="008244CE" w:rsidRDefault="00C61512" w:rsidP="004C22B4">
            <w:pPr>
              <w:pStyle w:val="Default"/>
              <w:numPr>
                <w:ilvl w:val="0"/>
                <w:numId w:val="21"/>
              </w:numPr>
              <w:snapToGrid w:val="0"/>
              <w:ind w:left="482" w:hanging="482"/>
              <w:jc w:val="both"/>
              <w:rPr>
                <w:color w:val="000000" w:themeColor="text1"/>
                <w:sz w:val="23"/>
                <w:szCs w:val="23"/>
              </w:rPr>
            </w:pPr>
            <w:r w:rsidRPr="008244CE">
              <w:rPr>
                <w:rFonts w:hint="eastAsia"/>
                <w:color w:val="000000" w:themeColor="text1"/>
                <w:sz w:val="23"/>
                <w:szCs w:val="23"/>
              </w:rPr>
              <w:t>考量改善方式可能以</w:t>
            </w:r>
            <w:r w:rsidR="00144223" w:rsidRPr="008244CE">
              <w:rPr>
                <w:rFonts w:hint="eastAsia"/>
                <w:color w:val="000000" w:themeColor="text1"/>
                <w:sz w:val="23"/>
                <w:szCs w:val="23"/>
              </w:rPr>
              <w:t>停止污染源操作方式進行，爰</w:t>
            </w:r>
            <w:r w:rsidRPr="008244CE">
              <w:rPr>
                <w:rFonts w:hint="eastAsia"/>
                <w:color w:val="000000" w:themeColor="text1"/>
                <w:sz w:val="23"/>
                <w:szCs w:val="23"/>
              </w:rPr>
              <w:t>參考</w:t>
            </w:r>
            <w:r w:rsidRPr="008244CE">
              <w:rPr>
                <w:color w:val="000000" w:themeColor="text1"/>
              </w:rPr>
              <w:t>違反水污染防治法按次處罰通知限期改善或補正執行準則</w:t>
            </w:r>
            <w:r w:rsidRPr="008244CE">
              <w:rPr>
                <w:rFonts w:hint="eastAsia"/>
                <w:color w:val="000000" w:themeColor="text1"/>
              </w:rPr>
              <w:t>第七條規定，</w:t>
            </w:r>
            <w:r w:rsidRPr="008244CE">
              <w:rPr>
                <w:rFonts w:hint="eastAsia"/>
                <w:color w:val="000000" w:themeColor="text1"/>
                <w:sz w:val="23"/>
                <w:szCs w:val="23"/>
              </w:rPr>
              <w:t>明</w:t>
            </w:r>
            <w:r w:rsidR="00CA2763" w:rsidRPr="004C22B4">
              <w:rPr>
                <w:rFonts w:hint="eastAsia"/>
                <w:color w:val="000000" w:themeColor="text1"/>
                <w:sz w:val="23"/>
                <w:szCs w:val="23"/>
              </w:rPr>
              <w:t>定</w:t>
            </w:r>
            <w:r w:rsidRPr="008244CE">
              <w:rPr>
                <w:rFonts w:hint="eastAsia"/>
                <w:color w:val="000000" w:themeColor="text1"/>
                <w:sz w:val="23"/>
                <w:szCs w:val="23"/>
              </w:rPr>
              <w:t>違反本法規定，以停工、停業作為改善之方式者，得檢具證明改善完成之相關文件。</w:t>
            </w:r>
            <w:r w:rsidRPr="008244CE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5621F6" w:rsidRPr="004C22B4" w:rsidRDefault="003A2A12" w:rsidP="004C22B4">
            <w:pPr>
              <w:pStyle w:val="Default"/>
              <w:numPr>
                <w:ilvl w:val="0"/>
                <w:numId w:val="21"/>
              </w:numPr>
              <w:snapToGrid w:val="0"/>
              <w:ind w:left="482" w:hanging="482"/>
              <w:jc w:val="both"/>
              <w:rPr>
                <w:color w:val="000000" w:themeColor="text1"/>
                <w:sz w:val="23"/>
                <w:szCs w:val="23"/>
              </w:rPr>
            </w:pPr>
            <w:r w:rsidRPr="008244CE">
              <w:rPr>
                <w:rFonts w:hint="eastAsia"/>
                <w:color w:val="000000" w:themeColor="text1"/>
                <w:sz w:val="23"/>
                <w:szCs w:val="23"/>
              </w:rPr>
              <w:t>以</w:t>
            </w:r>
            <w:r w:rsidR="009F2340">
              <w:rPr>
                <w:rFonts w:ascii="Times New Roman" w:hAnsi="Times New Roman" w:hint="eastAsia"/>
                <w:color w:val="000000" w:themeColor="text1"/>
              </w:rPr>
              <w:t>停止污染源操作、</w:t>
            </w:r>
            <w:r w:rsidR="00FE61A8" w:rsidRPr="00FE61A8">
              <w:rPr>
                <w:rFonts w:ascii="Times New Roman" w:hAnsi="Times New Roman" w:hint="eastAsia"/>
                <w:color w:val="000000" w:themeColor="text1"/>
              </w:rPr>
              <w:t>停工</w:t>
            </w:r>
            <w:r w:rsidR="009F2340">
              <w:rPr>
                <w:rFonts w:ascii="Times New Roman" w:hAnsi="Times New Roman" w:hint="eastAsia"/>
                <w:color w:val="000000" w:themeColor="text1"/>
              </w:rPr>
              <w:t>或</w:t>
            </w:r>
            <w:r w:rsidR="00FE61A8" w:rsidRPr="00FE61A8">
              <w:rPr>
                <w:rFonts w:ascii="Times New Roman" w:hAnsi="Times New Roman" w:hint="eastAsia"/>
                <w:color w:val="000000" w:themeColor="text1"/>
              </w:rPr>
              <w:t>停業</w:t>
            </w:r>
            <w:r w:rsidRPr="008244CE">
              <w:rPr>
                <w:rFonts w:hint="eastAsia"/>
                <w:color w:val="000000" w:themeColor="text1"/>
                <w:sz w:val="23"/>
                <w:szCs w:val="23"/>
              </w:rPr>
              <w:t>作為改善之方式，且</w:t>
            </w:r>
            <w:r w:rsidR="005621F6" w:rsidRPr="008244CE">
              <w:rPr>
                <w:rFonts w:hint="eastAsia"/>
                <w:color w:val="000000" w:themeColor="text1"/>
                <w:sz w:val="23"/>
                <w:szCs w:val="23"/>
              </w:rPr>
              <w:t>屬主要生產設備未搬遷</w:t>
            </w:r>
            <w:r w:rsidR="00B14949" w:rsidRPr="008244CE">
              <w:rPr>
                <w:rFonts w:hint="eastAsia"/>
                <w:color w:val="000000" w:themeColor="text1"/>
                <w:sz w:val="23"/>
                <w:szCs w:val="23"/>
              </w:rPr>
              <w:t>者</w:t>
            </w:r>
            <w:r w:rsidR="005621F6" w:rsidRPr="008244CE">
              <w:rPr>
                <w:rFonts w:hint="eastAsia"/>
                <w:color w:val="000000" w:themeColor="text1"/>
                <w:sz w:val="23"/>
                <w:szCs w:val="23"/>
              </w:rPr>
              <w:t>，應檢具第一款</w:t>
            </w:r>
            <w:r w:rsidR="00AC1847" w:rsidRPr="004C22B4">
              <w:rPr>
                <w:rFonts w:hint="eastAsia"/>
                <w:color w:val="000000" w:themeColor="text1"/>
                <w:sz w:val="23"/>
                <w:szCs w:val="23"/>
              </w:rPr>
              <w:t>或第三款</w:t>
            </w:r>
            <w:r w:rsidR="005621F6" w:rsidRPr="008244CE">
              <w:rPr>
                <w:rFonts w:hint="eastAsia"/>
                <w:color w:val="000000" w:themeColor="text1"/>
                <w:sz w:val="23"/>
                <w:szCs w:val="23"/>
              </w:rPr>
              <w:t>文件；屬主要生產設備已搬遷</w:t>
            </w:r>
            <w:r w:rsidR="00B14949" w:rsidRPr="008244CE">
              <w:rPr>
                <w:rFonts w:hint="eastAsia"/>
                <w:color w:val="000000" w:themeColor="text1"/>
                <w:sz w:val="23"/>
                <w:szCs w:val="23"/>
              </w:rPr>
              <w:t>者</w:t>
            </w:r>
            <w:r w:rsidR="005621F6" w:rsidRPr="008244CE">
              <w:rPr>
                <w:rFonts w:hint="eastAsia"/>
                <w:color w:val="000000" w:themeColor="text1"/>
                <w:sz w:val="23"/>
                <w:szCs w:val="23"/>
              </w:rPr>
              <w:t>，應檢具第二款文件。</w:t>
            </w:r>
          </w:p>
        </w:tc>
      </w:tr>
      <w:tr w:rsidR="008244CE" w:rsidRPr="008244CE" w:rsidTr="00CC1C5C">
        <w:tc>
          <w:tcPr>
            <w:tcW w:w="1666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 w:rsidR="00657775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五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　主管機關進行補正、改善或申報完成之認定查驗，自期限屆滿之翌日起十日內為之，必要時得延長。</w:t>
            </w:r>
          </w:p>
          <w:p w:rsidR="00F22D3D" w:rsidRPr="008244CE" w:rsidRDefault="00434A44">
            <w:pPr>
              <w:snapToGrid w:val="0"/>
              <w:spacing w:line="320" w:lineRule="exact"/>
              <w:ind w:leftChars="100" w:left="240" w:firstLineChars="216" w:firstLine="51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公私場所</w:t>
            </w:r>
            <w:r w:rsidR="00F22D3D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於期限屆滿前，檢齊完成補正、改善或申報</w:t>
            </w:r>
            <w:r w:rsidR="006456C5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</w:t>
            </w:r>
            <w:r w:rsidR="00F22D3D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證明文件報請查驗者，主管機關得於期限屆滿前進行認定查驗。</w:t>
            </w:r>
          </w:p>
          <w:p w:rsidR="00F22D3D" w:rsidRPr="008244CE" w:rsidRDefault="00F22D3D">
            <w:pPr>
              <w:snapToGrid w:val="0"/>
              <w:spacing w:line="320" w:lineRule="exact"/>
              <w:ind w:leftChars="100" w:left="240" w:firstLineChars="216" w:firstLine="51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前二項之認定查驗方式得以書面審查或現場查驗方式為之。</w:t>
            </w: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第七條　主管機關進行補正、改善或申報完成之認定查驗，自期限屆滿之翌日起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或按日連續處罰之暫停日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起十日內為之，必要時得延長。</w:t>
            </w:r>
          </w:p>
          <w:p w:rsidR="00F22D3D" w:rsidRPr="008244CE" w:rsidRDefault="00F22D3D">
            <w:pPr>
              <w:snapToGrid w:val="0"/>
              <w:spacing w:line="320" w:lineRule="exact"/>
              <w:ind w:leftChars="100" w:left="240" w:firstLineChars="216" w:firstLine="51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於期限屆滿前，檢齊完成補正、改善或申報證明文件報請查驗者，主管機關得於期限屆滿前進行認定查驗。</w:t>
            </w:r>
          </w:p>
          <w:p w:rsidR="00F22D3D" w:rsidRPr="008244CE" w:rsidRDefault="00F22D3D">
            <w:pPr>
              <w:snapToGrid w:val="0"/>
              <w:spacing w:line="320" w:lineRule="exact"/>
              <w:ind w:leftChars="100" w:left="240" w:firstLineChars="216" w:firstLine="51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前二項之認定查驗方式得以書面審查或現場查驗方式為之。</w:t>
            </w:r>
          </w:p>
        </w:tc>
        <w:tc>
          <w:tcPr>
            <w:tcW w:w="1667" w:type="pct"/>
            <w:shd w:val="clear" w:color="auto" w:fill="FFFFFF" w:themeFill="background1"/>
          </w:tcPr>
          <w:p w:rsidR="00900D8D" w:rsidRPr="008244CE" w:rsidRDefault="00900D8D" w:rsidP="004C22B4">
            <w:pPr>
              <w:numPr>
                <w:ilvl w:val="0"/>
                <w:numId w:val="23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條次變更。</w:t>
            </w:r>
          </w:p>
          <w:p w:rsidR="00F22D3D" w:rsidRPr="008244CE" w:rsidRDefault="00B423D5" w:rsidP="004C22B4">
            <w:pPr>
              <w:numPr>
                <w:ilvl w:val="0"/>
                <w:numId w:val="23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第一項配合現行條文</w:t>
            </w:r>
            <w:r w:rsidR="00AC1847" w:rsidRPr="008244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第四條刪除，爰修正之</w:t>
            </w:r>
            <w:r w:rsidR="00F22D3D" w:rsidRPr="008244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AC1847" w:rsidRPr="008244CE" w:rsidRDefault="00AC1847" w:rsidP="004C22B4">
            <w:pPr>
              <w:numPr>
                <w:ilvl w:val="0"/>
                <w:numId w:val="23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第二項酌作文字修正。</w:t>
            </w:r>
          </w:p>
          <w:p w:rsidR="00900D8D" w:rsidRPr="008244CE" w:rsidRDefault="00900D8D" w:rsidP="004C22B4">
            <w:pPr>
              <w:numPr>
                <w:ilvl w:val="0"/>
                <w:numId w:val="23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第三項未修正。</w:t>
            </w:r>
          </w:p>
        </w:tc>
      </w:tr>
      <w:tr w:rsidR="008244CE" w:rsidRPr="008244CE" w:rsidTr="00CC1C5C">
        <w:tc>
          <w:tcPr>
            <w:tcW w:w="1666" w:type="pct"/>
            <w:shd w:val="clear" w:color="auto" w:fill="FFFFFF" w:themeFill="background1"/>
          </w:tcPr>
          <w:p w:rsidR="00DF5099" w:rsidRPr="008244CE" w:rsidRDefault="00DF5099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 w:rsidR="00657775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六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公私場所未能於</w:t>
            </w:r>
            <w:r w:rsidR="00F537C8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主管機關指定之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期限內完成改善者，依本法第八十二條第二項</w:t>
            </w:r>
            <w:r w:rsidR="000B0C32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規定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申請延長改善期限所提報之具體改善計畫，應包括下列</w:t>
            </w:r>
            <w:r w:rsidR="000B0C32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事項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</w:p>
          <w:p w:rsidR="000F3889" w:rsidRPr="008244CE" w:rsidRDefault="00DF5099" w:rsidP="004C22B4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污染源名稱及原據以處罰並限期改善之違規事實。</w:t>
            </w:r>
          </w:p>
          <w:p w:rsidR="000F3889" w:rsidRPr="008244CE" w:rsidRDefault="00DF5099" w:rsidP="004C22B4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改善目標、時程、預定改善進度及其相關證明文件。</w:t>
            </w:r>
          </w:p>
          <w:p w:rsidR="000F3889" w:rsidRPr="008244CE" w:rsidRDefault="00DF5099" w:rsidP="004C22B4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申請延長之日數。</w:t>
            </w:r>
          </w:p>
          <w:p w:rsidR="000F3889" w:rsidRPr="008244CE" w:rsidRDefault="00DF5099" w:rsidP="004C22B4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改善期間採取之污染防制措施</w:t>
            </w:r>
            <w:r w:rsidR="00503168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與經費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DF5099" w:rsidRPr="008244CE" w:rsidRDefault="00DF5099" w:rsidP="004C22B4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0" w:left="720" w:hangingChars="20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其他經主管機關指定之事項。</w:t>
            </w:r>
          </w:p>
          <w:p w:rsidR="000B0C32" w:rsidRPr="008244CE" w:rsidRDefault="00DF5099" w:rsidP="004C22B4">
            <w:pPr>
              <w:snapToGrid w:val="0"/>
              <w:spacing w:line="320" w:lineRule="exact"/>
              <w:ind w:leftChars="100" w:left="240" w:firstLineChars="200" w:firstLine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主管機關受理前項延長申請，應於三十日內核定</w:t>
            </w:r>
            <w:r w:rsidR="000B0C32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:rsidR="00DF5099" w:rsidRPr="008244CE" w:rsidRDefault="00DF5099" w:rsidP="004C22B4">
            <w:pPr>
              <w:snapToGrid w:val="0"/>
              <w:spacing w:line="320" w:lineRule="exact"/>
              <w:ind w:leftChars="100" w:left="240" w:firstLineChars="200" w:firstLine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主管機關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核定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延長改善期限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者，應於每月十五日前向核定機關提報前一月之改善執行進度。</w:t>
            </w:r>
          </w:p>
        </w:tc>
        <w:tc>
          <w:tcPr>
            <w:tcW w:w="1667" w:type="pct"/>
            <w:shd w:val="clear" w:color="auto" w:fill="FFFFFF" w:themeFill="background1"/>
          </w:tcPr>
          <w:p w:rsidR="00DF5099" w:rsidRPr="008244CE" w:rsidRDefault="00DF5099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DF5099" w:rsidRPr="008244CE" w:rsidRDefault="00900D8D" w:rsidP="004C22B4">
            <w:pPr>
              <w:numPr>
                <w:ilvl w:val="0"/>
                <w:numId w:val="24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本條新增</w:t>
            </w:r>
            <w:r w:rsidRPr="008244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900D8D" w:rsidRPr="008244CE" w:rsidRDefault="00900D8D" w:rsidP="004C22B4">
            <w:pPr>
              <w:numPr>
                <w:ilvl w:val="0"/>
                <w:numId w:val="24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將本法施行細則第三十七條移列至本準則統一規範，</w:t>
            </w:r>
            <w:r w:rsidR="000B0C32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修正說明同</w:t>
            </w:r>
            <w:r w:rsidR="002C0B8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修正條文</w:t>
            </w:r>
            <w:r w:rsidR="000B0C32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第三條說明二，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並酌作文字修正。</w:t>
            </w:r>
          </w:p>
        </w:tc>
      </w:tr>
      <w:tr w:rsidR="008244CE" w:rsidRPr="008244CE" w:rsidTr="00CC1C5C">
        <w:tc>
          <w:tcPr>
            <w:tcW w:w="1666" w:type="pct"/>
            <w:shd w:val="clear" w:color="auto" w:fill="FFFFFF" w:themeFill="background1"/>
          </w:tcPr>
          <w:p w:rsidR="00F22D3D" w:rsidRPr="004C22B4" w:rsidRDefault="00F22D3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 w:rsidR="00657775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七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</w:t>
            </w:r>
            <w:r w:rsidRPr="004C22B4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0825CA" w:rsidRPr="004C22B4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0825CA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公私場所</w:t>
            </w:r>
            <w:r w:rsidR="00F65C1E" w:rsidRPr="004C22B4">
              <w:rPr>
                <w:rFonts w:ascii="Times New Roman" w:eastAsia="標楷體" w:hAnsi="Times New Roman" w:hint="eastAsia"/>
                <w:color w:val="000000" w:themeColor="text1"/>
              </w:rPr>
              <w:t>經主管機關查驗，認定</w:t>
            </w:r>
            <w:r w:rsidR="000825CA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有下列情形之一者，</w:t>
            </w:r>
            <w:r w:rsidR="00F65C1E" w:rsidRPr="004C22B4">
              <w:rPr>
                <w:rFonts w:ascii="Times New Roman" w:eastAsia="標楷體" w:hAnsi="Times New Roman" w:hint="eastAsia"/>
                <w:color w:val="000000" w:themeColor="text1"/>
              </w:rPr>
              <w:t>為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未</w:t>
            </w:r>
            <w:r w:rsidR="00F65C1E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確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實依改善計畫執行：</w:t>
            </w:r>
          </w:p>
          <w:p w:rsidR="00F22D3D" w:rsidRPr="004C22B4" w:rsidRDefault="00F22D3D">
            <w:pPr>
              <w:pStyle w:val="a3"/>
              <w:numPr>
                <w:ilvl w:val="0"/>
                <w:numId w:val="6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未依</w:t>
            </w:r>
            <w:r w:rsidR="00D50178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前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條第</w:t>
            </w:r>
            <w:r w:rsidR="00D50178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三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項，按月提報改善進度。</w:t>
            </w:r>
          </w:p>
          <w:p w:rsidR="00F22D3D" w:rsidRPr="004C22B4" w:rsidRDefault="00F22D3D">
            <w:pPr>
              <w:pStyle w:val="a3"/>
              <w:numPr>
                <w:ilvl w:val="0"/>
                <w:numId w:val="6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非因不可抗力因素，未按主管機關核定之改善計畫進度執行，且落後進度達三十日以上。</w:t>
            </w:r>
          </w:p>
          <w:p w:rsidR="00F22D3D" w:rsidRPr="004C22B4" w:rsidRDefault="00F22D3D">
            <w:pPr>
              <w:pStyle w:val="a3"/>
              <w:numPr>
                <w:ilvl w:val="0"/>
                <w:numId w:val="6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未依主管機關核定之改善計畫內容執行。</w:t>
            </w:r>
          </w:p>
          <w:p w:rsidR="00F22D3D" w:rsidRPr="004C22B4" w:rsidRDefault="00F22D3D">
            <w:pPr>
              <w:pStyle w:val="a3"/>
              <w:numPr>
                <w:ilvl w:val="0"/>
                <w:numId w:val="6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延長改善期間，大量排放空氣污染物，嚴重影響附近地區空氣品質。</w:t>
            </w:r>
          </w:p>
        </w:tc>
        <w:tc>
          <w:tcPr>
            <w:tcW w:w="1667" w:type="pct"/>
            <w:shd w:val="clear" w:color="auto" w:fill="FFFFFF" w:themeFill="background1"/>
          </w:tcPr>
          <w:p w:rsidR="00F22D3D" w:rsidRPr="004C22B4" w:rsidRDefault="00F22D3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F22D3D" w:rsidRPr="004C22B4" w:rsidRDefault="00F22D3D" w:rsidP="004C22B4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ind w:leftChars="0" w:left="53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4C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本條新增</w:t>
            </w:r>
            <w:r w:rsidRPr="004C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F22D3D" w:rsidRPr="004C22B4" w:rsidRDefault="00D50178" w:rsidP="004C22B4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ind w:leftChars="0" w:left="538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將本法施行細則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第三十八條移列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至本準則統一規範，修正說明同第三條說明二</w:t>
            </w:r>
            <w:r w:rsidR="00900D8D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，爰並酌作文字修正</w:t>
            </w:r>
            <w:r w:rsidR="00F22D3D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8244CE" w:rsidRPr="008244CE" w:rsidTr="00CC1C5C">
        <w:tc>
          <w:tcPr>
            <w:tcW w:w="1666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F22D3D" w:rsidRPr="008244CE" w:rsidRDefault="00F22D3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第八條　本法按日連續處罰之執行不扣除例假日、停工及停業日。</w:t>
            </w:r>
          </w:p>
        </w:tc>
        <w:tc>
          <w:tcPr>
            <w:tcW w:w="1667" w:type="pct"/>
            <w:shd w:val="clear" w:color="auto" w:fill="FFFFFF" w:themeFill="background1"/>
          </w:tcPr>
          <w:p w:rsidR="00900D8D" w:rsidRPr="008244CE" w:rsidRDefault="00900D8D" w:rsidP="004C22B4">
            <w:pPr>
              <w:numPr>
                <w:ilvl w:val="0"/>
                <w:numId w:val="25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C22B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本條刪除</w:t>
            </w:r>
            <w:r w:rsidRPr="008244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F22D3D" w:rsidRPr="008244CE" w:rsidRDefault="00F22D3D" w:rsidP="004C22B4">
            <w:pPr>
              <w:numPr>
                <w:ilvl w:val="0"/>
                <w:numId w:val="25"/>
              </w:num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按次處罰之執行，與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例假日、停工及停業日等無關，爰刪除</w:t>
            </w:r>
            <w:r w:rsidR="0012242C"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</w:t>
            </w:r>
            <w:r w:rsidRPr="008244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8244CE" w:rsidRPr="008244CE" w:rsidTr="00CC1C5C">
        <w:tc>
          <w:tcPr>
            <w:tcW w:w="1666" w:type="pct"/>
          </w:tcPr>
          <w:p w:rsidR="00F22D3D" w:rsidRPr="008244CE" w:rsidRDefault="00F22D3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 w:rsidR="00657775"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八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　本準則自發布日施行。</w:t>
            </w:r>
          </w:p>
        </w:tc>
        <w:tc>
          <w:tcPr>
            <w:tcW w:w="1667" w:type="pct"/>
            <w:shd w:val="clear" w:color="auto" w:fill="auto"/>
          </w:tcPr>
          <w:p w:rsidR="00F22D3D" w:rsidRPr="008244CE" w:rsidRDefault="00F22D3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 w:rsidRPr="004C22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九</w:t>
            </w:r>
            <w:r w:rsidRPr="008244C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　本準則自發布日施行。</w:t>
            </w:r>
          </w:p>
        </w:tc>
        <w:tc>
          <w:tcPr>
            <w:tcW w:w="1667" w:type="pct"/>
            <w:shd w:val="clear" w:color="auto" w:fill="auto"/>
          </w:tcPr>
          <w:p w:rsidR="00F22D3D" w:rsidRPr="008244CE" w:rsidRDefault="00900D8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244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條次變更，文字未修正</w:t>
            </w:r>
            <w:r w:rsidR="00F22D3D" w:rsidRPr="008244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</w:tbl>
    <w:p w:rsidR="00103C1C" w:rsidRPr="008244CE" w:rsidRDefault="00103C1C">
      <w:pPr>
        <w:rPr>
          <w:color w:val="000000" w:themeColor="text1"/>
        </w:rPr>
      </w:pPr>
    </w:p>
    <w:sectPr w:rsidR="00103C1C" w:rsidRPr="008244CE" w:rsidSect="004C22B4">
      <w:footerReference w:type="default" r:id="rId7"/>
      <w:pgSz w:w="11906" w:h="16838"/>
      <w:pgMar w:top="1440" w:right="1800" w:bottom="1276" w:left="1800" w:header="851" w:footer="4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50" w:rsidRDefault="00C50C50" w:rsidP="00D75019">
      <w:r>
        <w:separator/>
      </w:r>
    </w:p>
  </w:endnote>
  <w:endnote w:type="continuationSeparator" w:id="0">
    <w:p w:rsidR="00C50C50" w:rsidRDefault="00C50C50" w:rsidP="00D7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711056"/>
      <w:docPartObj>
        <w:docPartGallery w:val="Page Numbers (Bottom of Page)"/>
        <w:docPartUnique/>
      </w:docPartObj>
    </w:sdtPr>
    <w:sdtEndPr/>
    <w:sdtContent>
      <w:p w:rsidR="009D3FF6" w:rsidRDefault="009D3FF6">
        <w:pPr>
          <w:pStyle w:val="a6"/>
        </w:pPr>
        <w:r w:rsidRPr="00D75019">
          <w:rPr>
            <w:sz w:val="24"/>
            <w:szCs w:val="24"/>
          </w:rPr>
          <w:fldChar w:fldCharType="begin"/>
        </w:r>
        <w:r w:rsidRPr="00D75019">
          <w:rPr>
            <w:sz w:val="24"/>
            <w:szCs w:val="24"/>
          </w:rPr>
          <w:instrText>PAGE   \* MERGEFORMAT</w:instrText>
        </w:r>
        <w:r w:rsidRPr="00D75019">
          <w:rPr>
            <w:sz w:val="24"/>
            <w:szCs w:val="24"/>
          </w:rPr>
          <w:fldChar w:fldCharType="separate"/>
        </w:r>
        <w:r w:rsidR="00BA0C97" w:rsidRPr="00BA0C97">
          <w:rPr>
            <w:noProof/>
            <w:sz w:val="24"/>
            <w:szCs w:val="24"/>
            <w:lang w:val="zh-TW"/>
          </w:rPr>
          <w:t>1</w:t>
        </w:r>
        <w:r w:rsidRPr="00D75019">
          <w:rPr>
            <w:sz w:val="24"/>
            <w:szCs w:val="24"/>
          </w:rPr>
          <w:fldChar w:fldCharType="end"/>
        </w:r>
      </w:p>
    </w:sdtContent>
  </w:sdt>
  <w:p w:rsidR="009D3FF6" w:rsidRDefault="009D3F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50" w:rsidRDefault="00C50C50" w:rsidP="00D75019">
      <w:r>
        <w:separator/>
      </w:r>
    </w:p>
  </w:footnote>
  <w:footnote w:type="continuationSeparator" w:id="0">
    <w:p w:rsidR="00C50C50" w:rsidRDefault="00C50C50" w:rsidP="00D7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501"/>
    <w:multiLevelType w:val="hybridMultilevel"/>
    <w:tmpl w:val="699E5F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21849"/>
    <w:multiLevelType w:val="hybridMultilevel"/>
    <w:tmpl w:val="278A666C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 w15:restartNumberingAfterBreak="0">
    <w:nsid w:val="07A73E54"/>
    <w:multiLevelType w:val="hybridMultilevel"/>
    <w:tmpl w:val="B560B98A"/>
    <w:lvl w:ilvl="0" w:tplc="04090015">
      <w:start w:val="1"/>
      <w:numFmt w:val="taiwaneseCountingThousand"/>
      <w:lvlText w:val="%1、"/>
      <w:lvlJc w:val="left"/>
      <w:pPr>
        <w:ind w:left="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3" w15:restartNumberingAfterBreak="0">
    <w:nsid w:val="1166314E"/>
    <w:multiLevelType w:val="hybridMultilevel"/>
    <w:tmpl w:val="43906C32"/>
    <w:lvl w:ilvl="0" w:tplc="D6BA5214">
      <w:start w:val="1"/>
      <w:numFmt w:val="taiwaneseCountingThousand"/>
      <w:suff w:val="nothing"/>
      <w:lvlText w:val="%1、"/>
      <w:lvlJc w:val="left"/>
      <w:pPr>
        <w:ind w:left="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4" w15:restartNumberingAfterBreak="0">
    <w:nsid w:val="13E14A9B"/>
    <w:multiLevelType w:val="hybridMultilevel"/>
    <w:tmpl w:val="277C2D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954D0"/>
    <w:multiLevelType w:val="hybridMultilevel"/>
    <w:tmpl w:val="EFD460E0"/>
    <w:lvl w:ilvl="0" w:tplc="04090015">
      <w:start w:val="1"/>
      <w:numFmt w:val="taiwaneseCountingThousand"/>
      <w:lvlText w:val="%1、"/>
      <w:lvlJc w:val="left"/>
      <w:pPr>
        <w:ind w:left="6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6" w15:restartNumberingAfterBreak="0">
    <w:nsid w:val="206322AD"/>
    <w:multiLevelType w:val="hybridMultilevel"/>
    <w:tmpl w:val="F79A92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6C5645"/>
    <w:multiLevelType w:val="hybridMultilevel"/>
    <w:tmpl w:val="9684C62A"/>
    <w:lvl w:ilvl="0" w:tplc="26EA26D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9A33CF"/>
    <w:multiLevelType w:val="hybridMultilevel"/>
    <w:tmpl w:val="9814AD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C62B3A"/>
    <w:multiLevelType w:val="hybridMultilevel"/>
    <w:tmpl w:val="488C71BE"/>
    <w:lvl w:ilvl="0" w:tplc="26EA26D8">
      <w:start w:val="1"/>
      <w:numFmt w:val="taiwaneseCountingThousand"/>
      <w:lvlText w:val="%1、"/>
      <w:lvlJc w:val="left"/>
      <w:pPr>
        <w:ind w:left="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0" w15:restartNumberingAfterBreak="0">
    <w:nsid w:val="405B23BE"/>
    <w:multiLevelType w:val="hybridMultilevel"/>
    <w:tmpl w:val="784C8738"/>
    <w:lvl w:ilvl="0" w:tplc="26EA26D8">
      <w:start w:val="1"/>
      <w:numFmt w:val="taiwaneseCountingThousand"/>
      <w:suff w:val="nothing"/>
      <w:lvlText w:val="%1、"/>
      <w:lvlJc w:val="left"/>
      <w:pPr>
        <w:ind w:left="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1" w15:restartNumberingAfterBreak="0">
    <w:nsid w:val="44BC2222"/>
    <w:multiLevelType w:val="hybridMultilevel"/>
    <w:tmpl w:val="99E42DDA"/>
    <w:lvl w:ilvl="0" w:tplc="BFDA90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1A1837"/>
    <w:multiLevelType w:val="hybridMultilevel"/>
    <w:tmpl w:val="8F5AD1DE"/>
    <w:lvl w:ilvl="0" w:tplc="0A9A092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2C1401"/>
    <w:multiLevelType w:val="hybridMultilevel"/>
    <w:tmpl w:val="63AAD0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828BE92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A0540A"/>
    <w:multiLevelType w:val="hybridMultilevel"/>
    <w:tmpl w:val="702CB4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5966C5"/>
    <w:multiLevelType w:val="hybridMultilevel"/>
    <w:tmpl w:val="DFF8AA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F77704"/>
    <w:multiLevelType w:val="hybridMultilevel"/>
    <w:tmpl w:val="32AC3BEE"/>
    <w:lvl w:ilvl="0" w:tplc="04090015">
      <w:start w:val="1"/>
      <w:numFmt w:val="taiwaneseCountingThousand"/>
      <w:lvlText w:val="%1、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7" w15:restartNumberingAfterBreak="0">
    <w:nsid w:val="5BC30009"/>
    <w:multiLevelType w:val="hybridMultilevel"/>
    <w:tmpl w:val="068A28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D115EA"/>
    <w:multiLevelType w:val="hybridMultilevel"/>
    <w:tmpl w:val="277C2D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F327D2"/>
    <w:multiLevelType w:val="hybridMultilevel"/>
    <w:tmpl w:val="226857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30119E"/>
    <w:multiLevelType w:val="hybridMultilevel"/>
    <w:tmpl w:val="AAB44AAE"/>
    <w:lvl w:ilvl="0" w:tplc="4B66056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672C9B"/>
    <w:multiLevelType w:val="hybridMultilevel"/>
    <w:tmpl w:val="7266490E"/>
    <w:lvl w:ilvl="0" w:tplc="A85A0300">
      <w:start w:val="1"/>
      <w:numFmt w:val="taiwaneseCountingThousand"/>
      <w:lvlText w:val="%1、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22" w15:restartNumberingAfterBreak="0">
    <w:nsid w:val="73AE2F07"/>
    <w:multiLevelType w:val="hybridMultilevel"/>
    <w:tmpl w:val="A12489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553656"/>
    <w:multiLevelType w:val="hybridMultilevel"/>
    <w:tmpl w:val="6EC61FE8"/>
    <w:lvl w:ilvl="0" w:tplc="26EA26D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A62701"/>
    <w:multiLevelType w:val="hybridMultilevel"/>
    <w:tmpl w:val="F392C3D6"/>
    <w:lvl w:ilvl="0" w:tplc="04090015">
      <w:start w:val="1"/>
      <w:numFmt w:val="taiwaneseCountingThousand"/>
      <w:lvlText w:val="%1、"/>
      <w:lvlJc w:val="left"/>
      <w:pPr>
        <w:ind w:left="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5" w15:restartNumberingAfterBreak="0">
    <w:nsid w:val="7AA7235F"/>
    <w:multiLevelType w:val="hybridMultilevel"/>
    <w:tmpl w:val="2A6E01A6"/>
    <w:lvl w:ilvl="0" w:tplc="BC14057C">
      <w:start w:val="1"/>
      <w:numFmt w:val="taiwaneseCountingThousand"/>
      <w:lvlText w:val="%1、"/>
      <w:lvlJc w:val="left"/>
      <w:pPr>
        <w:ind w:left="71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20"/>
  </w:num>
  <w:num w:numId="8">
    <w:abstractNumId w:val="25"/>
  </w:num>
  <w:num w:numId="9">
    <w:abstractNumId w:val="22"/>
  </w:num>
  <w:num w:numId="10">
    <w:abstractNumId w:val="19"/>
  </w:num>
  <w:num w:numId="11">
    <w:abstractNumId w:val="5"/>
  </w:num>
  <w:num w:numId="12">
    <w:abstractNumId w:val="17"/>
  </w:num>
  <w:num w:numId="13">
    <w:abstractNumId w:val="10"/>
  </w:num>
  <w:num w:numId="14">
    <w:abstractNumId w:val="21"/>
  </w:num>
  <w:num w:numId="15">
    <w:abstractNumId w:val="7"/>
  </w:num>
  <w:num w:numId="16">
    <w:abstractNumId w:val="11"/>
  </w:num>
  <w:num w:numId="17">
    <w:abstractNumId w:val="23"/>
  </w:num>
  <w:num w:numId="18">
    <w:abstractNumId w:val="9"/>
  </w:num>
  <w:num w:numId="19">
    <w:abstractNumId w:val="24"/>
  </w:num>
  <w:num w:numId="20">
    <w:abstractNumId w:val="16"/>
  </w:num>
  <w:num w:numId="21">
    <w:abstractNumId w:val="14"/>
  </w:num>
  <w:num w:numId="22">
    <w:abstractNumId w:val="18"/>
  </w:num>
  <w:num w:numId="23">
    <w:abstractNumId w:val="8"/>
  </w:num>
  <w:num w:numId="24">
    <w:abstractNumId w:val="15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3D"/>
    <w:rsid w:val="0000582D"/>
    <w:rsid w:val="00015C56"/>
    <w:rsid w:val="000304C6"/>
    <w:rsid w:val="00036803"/>
    <w:rsid w:val="00041783"/>
    <w:rsid w:val="00050DAD"/>
    <w:rsid w:val="00060F45"/>
    <w:rsid w:val="00067004"/>
    <w:rsid w:val="00073802"/>
    <w:rsid w:val="00075494"/>
    <w:rsid w:val="000825CA"/>
    <w:rsid w:val="000827CF"/>
    <w:rsid w:val="00091744"/>
    <w:rsid w:val="000A4F70"/>
    <w:rsid w:val="000B0C32"/>
    <w:rsid w:val="000B428D"/>
    <w:rsid w:val="000F3889"/>
    <w:rsid w:val="00103C1C"/>
    <w:rsid w:val="0012242C"/>
    <w:rsid w:val="001224D1"/>
    <w:rsid w:val="001316C9"/>
    <w:rsid w:val="00133A5C"/>
    <w:rsid w:val="001421D1"/>
    <w:rsid w:val="00144223"/>
    <w:rsid w:val="00162D49"/>
    <w:rsid w:val="001657FF"/>
    <w:rsid w:val="001875B5"/>
    <w:rsid w:val="00193AC6"/>
    <w:rsid w:val="00194342"/>
    <w:rsid w:val="001A7DD4"/>
    <w:rsid w:val="001D4606"/>
    <w:rsid w:val="001F2DF6"/>
    <w:rsid w:val="001F3FFC"/>
    <w:rsid w:val="001F6739"/>
    <w:rsid w:val="001F77FC"/>
    <w:rsid w:val="00212593"/>
    <w:rsid w:val="00224985"/>
    <w:rsid w:val="00226BD0"/>
    <w:rsid w:val="002317B7"/>
    <w:rsid w:val="0026442B"/>
    <w:rsid w:val="00277BA5"/>
    <w:rsid w:val="00285FB2"/>
    <w:rsid w:val="002A0DE9"/>
    <w:rsid w:val="002C0B8A"/>
    <w:rsid w:val="002D78A0"/>
    <w:rsid w:val="002F1550"/>
    <w:rsid w:val="002F5279"/>
    <w:rsid w:val="002F6610"/>
    <w:rsid w:val="002F7A7C"/>
    <w:rsid w:val="00321CE0"/>
    <w:rsid w:val="00323B0A"/>
    <w:rsid w:val="00344A81"/>
    <w:rsid w:val="00373E59"/>
    <w:rsid w:val="0037782F"/>
    <w:rsid w:val="003A2A12"/>
    <w:rsid w:val="003D4797"/>
    <w:rsid w:val="004111D9"/>
    <w:rsid w:val="00417041"/>
    <w:rsid w:val="004315C0"/>
    <w:rsid w:val="00434A44"/>
    <w:rsid w:val="004557C7"/>
    <w:rsid w:val="004946AB"/>
    <w:rsid w:val="004C22B4"/>
    <w:rsid w:val="004C6E74"/>
    <w:rsid w:val="00500293"/>
    <w:rsid w:val="00503168"/>
    <w:rsid w:val="00506063"/>
    <w:rsid w:val="00513E48"/>
    <w:rsid w:val="0053729D"/>
    <w:rsid w:val="005621F6"/>
    <w:rsid w:val="0056370B"/>
    <w:rsid w:val="00587FCD"/>
    <w:rsid w:val="005D575B"/>
    <w:rsid w:val="005D696C"/>
    <w:rsid w:val="005D77B1"/>
    <w:rsid w:val="005E296B"/>
    <w:rsid w:val="005F52EE"/>
    <w:rsid w:val="00615C3D"/>
    <w:rsid w:val="006237CE"/>
    <w:rsid w:val="00643F24"/>
    <w:rsid w:val="006456C5"/>
    <w:rsid w:val="0064628D"/>
    <w:rsid w:val="006470C0"/>
    <w:rsid w:val="00657775"/>
    <w:rsid w:val="00662F9E"/>
    <w:rsid w:val="00672294"/>
    <w:rsid w:val="00676994"/>
    <w:rsid w:val="0068046E"/>
    <w:rsid w:val="00684A64"/>
    <w:rsid w:val="006861BC"/>
    <w:rsid w:val="006879AC"/>
    <w:rsid w:val="00694AB3"/>
    <w:rsid w:val="006A3310"/>
    <w:rsid w:val="0072032B"/>
    <w:rsid w:val="00722084"/>
    <w:rsid w:val="00724192"/>
    <w:rsid w:val="0073606D"/>
    <w:rsid w:val="00752468"/>
    <w:rsid w:val="00764078"/>
    <w:rsid w:val="00773861"/>
    <w:rsid w:val="00787C32"/>
    <w:rsid w:val="00792A10"/>
    <w:rsid w:val="007952BE"/>
    <w:rsid w:val="007B5F2F"/>
    <w:rsid w:val="007B7366"/>
    <w:rsid w:val="007C46D3"/>
    <w:rsid w:val="007C7CA8"/>
    <w:rsid w:val="007E16C1"/>
    <w:rsid w:val="00811170"/>
    <w:rsid w:val="00821155"/>
    <w:rsid w:val="008244CE"/>
    <w:rsid w:val="008249EF"/>
    <w:rsid w:val="00826618"/>
    <w:rsid w:val="008273CD"/>
    <w:rsid w:val="008418D6"/>
    <w:rsid w:val="008455D4"/>
    <w:rsid w:val="00873969"/>
    <w:rsid w:val="008E4AEA"/>
    <w:rsid w:val="00900D8D"/>
    <w:rsid w:val="00924136"/>
    <w:rsid w:val="009A2DAA"/>
    <w:rsid w:val="009A5E76"/>
    <w:rsid w:val="009A5FE0"/>
    <w:rsid w:val="009C039D"/>
    <w:rsid w:val="009C0B5A"/>
    <w:rsid w:val="009D3FF6"/>
    <w:rsid w:val="009E02ED"/>
    <w:rsid w:val="009F1540"/>
    <w:rsid w:val="009F2340"/>
    <w:rsid w:val="00A16F6F"/>
    <w:rsid w:val="00A2716B"/>
    <w:rsid w:val="00A5496F"/>
    <w:rsid w:val="00A840B9"/>
    <w:rsid w:val="00A936CA"/>
    <w:rsid w:val="00AB42A3"/>
    <w:rsid w:val="00AC1847"/>
    <w:rsid w:val="00AC6F54"/>
    <w:rsid w:val="00AD5D78"/>
    <w:rsid w:val="00AE19EF"/>
    <w:rsid w:val="00AF46B4"/>
    <w:rsid w:val="00B14949"/>
    <w:rsid w:val="00B21849"/>
    <w:rsid w:val="00B23147"/>
    <w:rsid w:val="00B332B5"/>
    <w:rsid w:val="00B351E6"/>
    <w:rsid w:val="00B36E1E"/>
    <w:rsid w:val="00B40FC8"/>
    <w:rsid w:val="00B423D5"/>
    <w:rsid w:val="00B42D51"/>
    <w:rsid w:val="00B56F2F"/>
    <w:rsid w:val="00B57781"/>
    <w:rsid w:val="00BA0C97"/>
    <w:rsid w:val="00BB5495"/>
    <w:rsid w:val="00BC003D"/>
    <w:rsid w:val="00BF161A"/>
    <w:rsid w:val="00BF329A"/>
    <w:rsid w:val="00BF5179"/>
    <w:rsid w:val="00C05DBC"/>
    <w:rsid w:val="00C0763A"/>
    <w:rsid w:val="00C21952"/>
    <w:rsid w:val="00C403F1"/>
    <w:rsid w:val="00C4373F"/>
    <w:rsid w:val="00C50C50"/>
    <w:rsid w:val="00C61512"/>
    <w:rsid w:val="00C729A4"/>
    <w:rsid w:val="00CA2763"/>
    <w:rsid w:val="00CA4FFD"/>
    <w:rsid w:val="00CB2010"/>
    <w:rsid w:val="00CC1C5C"/>
    <w:rsid w:val="00CC6EDB"/>
    <w:rsid w:val="00CE06D3"/>
    <w:rsid w:val="00CF630F"/>
    <w:rsid w:val="00D50178"/>
    <w:rsid w:val="00D50A4F"/>
    <w:rsid w:val="00D648C8"/>
    <w:rsid w:val="00D65CAD"/>
    <w:rsid w:val="00D707BB"/>
    <w:rsid w:val="00D75019"/>
    <w:rsid w:val="00DA3671"/>
    <w:rsid w:val="00DC50D0"/>
    <w:rsid w:val="00DC636F"/>
    <w:rsid w:val="00DF5099"/>
    <w:rsid w:val="00E24315"/>
    <w:rsid w:val="00E3071A"/>
    <w:rsid w:val="00E40336"/>
    <w:rsid w:val="00E53601"/>
    <w:rsid w:val="00E55C84"/>
    <w:rsid w:val="00E75899"/>
    <w:rsid w:val="00E75B2E"/>
    <w:rsid w:val="00E94D37"/>
    <w:rsid w:val="00EA2858"/>
    <w:rsid w:val="00EE5E79"/>
    <w:rsid w:val="00F15EBE"/>
    <w:rsid w:val="00F22D3D"/>
    <w:rsid w:val="00F3606E"/>
    <w:rsid w:val="00F36C0F"/>
    <w:rsid w:val="00F537C8"/>
    <w:rsid w:val="00F6448C"/>
    <w:rsid w:val="00F65C1E"/>
    <w:rsid w:val="00F72811"/>
    <w:rsid w:val="00F80E4D"/>
    <w:rsid w:val="00F9702E"/>
    <w:rsid w:val="00FA00CD"/>
    <w:rsid w:val="00FA5D22"/>
    <w:rsid w:val="00FB3637"/>
    <w:rsid w:val="00FD0A8B"/>
    <w:rsid w:val="00FE4053"/>
    <w:rsid w:val="00FE521B"/>
    <w:rsid w:val="00FE61A8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CF2A63B-15EF-4584-9F87-F34B7CAD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3D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5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0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0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3E5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15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許平和</dc:creator>
  <cp:lastModifiedBy>文蘭 吳</cp:lastModifiedBy>
  <cp:revision>2</cp:revision>
  <cp:lastPrinted>2019-02-25T02:37:00Z</cp:lastPrinted>
  <dcterms:created xsi:type="dcterms:W3CDTF">2019-03-22T06:24:00Z</dcterms:created>
  <dcterms:modified xsi:type="dcterms:W3CDTF">2019-03-22T06:24:00Z</dcterms:modified>
</cp:coreProperties>
</file>